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210A" w14:textId="77777777" w:rsidR="00BF636E" w:rsidRDefault="00000000">
      <w:pPr>
        <w:jc w:val="right"/>
        <w:rPr>
          <w:color w:val="000000"/>
        </w:rPr>
      </w:pPr>
      <w:r>
        <w:rPr>
          <w:b/>
          <w:bCs/>
          <w:color w:val="000000"/>
        </w:rPr>
        <w:t>Policy: 2190</w:t>
      </w:r>
      <w:r>
        <w:rPr>
          <w:b/>
          <w:bCs/>
          <w:color w:val="000000"/>
        </w:rPr>
        <w:br/>
        <w:t>Section: 2000 - Instruction</w:t>
      </w:r>
    </w:p>
    <w:p w14:paraId="77D2636E" w14:textId="77777777" w:rsidR="00BF636E"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0075AFF3">
          <v:rect id="_x0000_i1025" style="width:0;height:1.5pt" o:hralign="center" o:hrstd="t" o:hr="t" fillcolor="#a0a0a0" stroked="f"/>
        </w:pict>
      </w:r>
    </w:p>
    <w:p w14:paraId="5D3D7B41" w14:textId="77777777" w:rsidR="00BF636E" w:rsidRDefault="00BF636E">
      <w:pPr>
        <w:rPr>
          <w:rFonts w:ascii="Times New Roman" w:eastAsia="Times New Roman" w:hAnsi="Times New Roman"/>
          <w:color w:val="000000"/>
          <w:sz w:val="24"/>
          <w:szCs w:val="24"/>
        </w:rPr>
      </w:pPr>
    </w:p>
    <w:p w14:paraId="1AAE560A" w14:textId="77777777" w:rsidR="00BF636E" w:rsidRDefault="00000000">
      <w:pPr>
        <w:pStyle w:val="NormalWeb"/>
        <w:rPr>
          <w:color w:val="000000"/>
          <w:sz w:val="32"/>
          <w:szCs w:val="32"/>
        </w:rPr>
      </w:pPr>
      <w:r>
        <w:rPr>
          <w:b/>
          <w:bCs/>
          <w:color w:val="000000"/>
          <w:sz w:val="32"/>
          <w:szCs w:val="32"/>
        </w:rPr>
        <w:t>Highly Capable Programs</w:t>
      </w:r>
    </w:p>
    <w:p w14:paraId="2D2786EA" w14:textId="77777777" w:rsidR="00BF636E" w:rsidRDefault="00BF636E">
      <w:pPr>
        <w:rPr>
          <w:rFonts w:ascii="Times New Roman" w:eastAsia="Times New Roman" w:hAnsi="Times New Roman"/>
          <w:color w:val="000000"/>
          <w:sz w:val="24"/>
          <w:szCs w:val="24"/>
        </w:rPr>
      </w:pPr>
    </w:p>
    <w:p w14:paraId="606F8B35" w14:textId="02CBBDA1" w:rsidR="00BF636E" w:rsidRDefault="00044709">
      <w:pPr>
        <w:pStyle w:val="NormalWeb"/>
        <w:rPr>
          <w:color w:val="000000"/>
        </w:rPr>
      </w:pPr>
      <w:r>
        <w:rPr>
          <w:color w:val="000000"/>
          <w:sz w:val="17"/>
          <w:szCs w:val="17"/>
        </w:rPr>
        <w:t>To</w:t>
      </w:r>
      <w:r w:rsidR="00000000">
        <w:rPr>
          <w:color w:val="000000"/>
          <w:sz w:val="17"/>
          <w:szCs w:val="17"/>
        </w:rPr>
        <w:t xml:space="preserve"> develop the special abilities of each student, the district will offer a highly capable program that provides kindergarten through twelfth grade students who qualify for the program with access to basic education programs that accelerate learning and enhance instruction. The framework for such programs will encompass, but not be limited to, the following objectives:</w:t>
      </w:r>
      <w:r w:rsidR="00000000">
        <w:rPr>
          <w:color w:val="000000"/>
          <w:szCs w:val="20"/>
        </w:rPr>
        <w:br/>
        <w:t> </w:t>
      </w:r>
    </w:p>
    <w:p w14:paraId="323C660B" w14:textId="77777777" w:rsidR="00BF636E" w:rsidRDefault="00000000">
      <w:pPr>
        <w:numPr>
          <w:ilvl w:val="0"/>
          <w:numId w:val="1"/>
        </w:numPr>
        <w:rPr>
          <w:color w:val="000000"/>
        </w:rPr>
      </w:pPr>
      <w:r>
        <w:rPr>
          <w:color w:val="000000"/>
          <w:sz w:val="17"/>
          <w:szCs w:val="17"/>
        </w:rPr>
        <w:t>Expansion of academic attainments and intellectual skills;</w:t>
      </w:r>
      <w:r>
        <w:rPr>
          <w:color w:val="000000"/>
          <w:szCs w:val="20"/>
        </w:rPr>
        <w:br/>
        <w:t> </w:t>
      </w:r>
    </w:p>
    <w:p w14:paraId="52237C27" w14:textId="77777777" w:rsidR="00BF636E" w:rsidRDefault="00000000">
      <w:pPr>
        <w:numPr>
          <w:ilvl w:val="0"/>
          <w:numId w:val="1"/>
        </w:numPr>
        <w:rPr>
          <w:color w:val="000000"/>
        </w:rPr>
      </w:pPr>
      <w:r>
        <w:rPr>
          <w:color w:val="000000"/>
          <w:sz w:val="17"/>
          <w:szCs w:val="17"/>
        </w:rPr>
        <w:t>Stimulation of intellectual curiosity, independence, and responsibility;</w:t>
      </w:r>
      <w:r>
        <w:rPr>
          <w:color w:val="000000"/>
          <w:szCs w:val="20"/>
        </w:rPr>
        <w:br/>
        <w:t> </w:t>
      </w:r>
    </w:p>
    <w:p w14:paraId="365EBAF0" w14:textId="77777777" w:rsidR="00BF636E" w:rsidRDefault="00000000">
      <w:pPr>
        <w:numPr>
          <w:ilvl w:val="0"/>
          <w:numId w:val="1"/>
        </w:numPr>
        <w:rPr>
          <w:color w:val="000000"/>
        </w:rPr>
      </w:pPr>
      <w:r>
        <w:rPr>
          <w:color w:val="000000"/>
          <w:sz w:val="17"/>
          <w:szCs w:val="17"/>
        </w:rPr>
        <w:t>Development of a positive attitude toward self and others; and</w:t>
      </w:r>
      <w:r>
        <w:rPr>
          <w:color w:val="000000"/>
          <w:szCs w:val="20"/>
        </w:rPr>
        <w:br/>
        <w:t> </w:t>
      </w:r>
    </w:p>
    <w:p w14:paraId="6B3649B3" w14:textId="77777777" w:rsidR="00BF636E" w:rsidRDefault="00000000">
      <w:pPr>
        <w:numPr>
          <w:ilvl w:val="0"/>
          <w:numId w:val="1"/>
        </w:numPr>
        <w:rPr>
          <w:color w:val="000000"/>
        </w:rPr>
      </w:pPr>
      <w:r>
        <w:rPr>
          <w:color w:val="000000"/>
          <w:sz w:val="17"/>
          <w:szCs w:val="17"/>
        </w:rPr>
        <w:t>Development of originality and creativity.</w:t>
      </w:r>
    </w:p>
    <w:p w14:paraId="1CB640EE" w14:textId="77777777" w:rsidR="00BF636E" w:rsidRDefault="00000000">
      <w:pPr>
        <w:pStyle w:val="NormalWeb"/>
        <w:rPr>
          <w:color w:val="000000"/>
        </w:rPr>
      </w:pPr>
      <w:r>
        <w:rPr>
          <w:color w:val="000000"/>
          <w:szCs w:val="20"/>
        </w:rPr>
        <w:t> </w:t>
      </w:r>
    </w:p>
    <w:p w14:paraId="16E5A954" w14:textId="1AB8AE45" w:rsidR="00BF636E" w:rsidRDefault="00000000">
      <w:pPr>
        <w:pStyle w:val="NormalWeb"/>
        <w:rPr>
          <w:color w:val="000000"/>
        </w:rPr>
      </w:pPr>
      <w:r>
        <w:rPr>
          <w:color w:val="000000"/>
          <w:sz w:val="17"/>
          <w:szCs w:val="17"/>
        </w:rPr>
        <w:t xml:space="preserve">The board will annually approve the district’s highly capable plan including: the number of students the district expects to serve by grade level; the district’s plan to </w:t>
      </w:r>
      <w:r w:rsidR="00DA149E">
        <w:rPr>
          <w:color w:val="000000"/>
          <w:sz w:val="17"/>
          <w:szCs w:val="17"/>
        </w:rPr>
        <w:t xml:space="preserve">identify and place students, including </w:t>
      </w:r>
      <w:r>
        <w:rPr>
          <w:color w:val="000000"/>
          <w:sz w:val="17"/>
          <w:szCs w:val="17"/>
        </w:rPr>
        <w:t>universal screen</w:t>
      </w:r>
      <w:r w:rsidR="00DA149E">
        <w:rPr>
          <w:color w:val="000000"/>
          <w:sz w:val="17"/>
          <w:szCs w:val="17"/>
        </w:rPr>
        <w:t>ing at two grade levels</w:t>
      </w:r>
      <w:r>
        <w:rPr>
          <w:color w:val="000000"/>
          <w:sz w:val="17"/>
          <w:szCs w:val="17"/>
        </w:rPr>
        <w:t>; a description of the highly capable program goals; a description of the services the program will offer; an instructional program description; a description of ongoing professional development for highly capable program and general education staff; program evaluation and fiscal report; and assurances that the district is legally compliant.</w:t>
      </w:r>
    </w:p>
    <w:p w14:paraId="039DBE35" w14:textId="77777777" w:rsidR="00BF636E" w:rsidRDefault="00000000">
      <w:pPr>
        <w:pStyle w:val="NormalWeb"/>
        <w:rPr>
          <w:color w:val="000000"/>
        </w:rPr>
      </w:pPr>
      <w:r>
        <w:rPr>
          <w:color w:val="000000"/>
          <w:szCs w:val="20"/>
        </w:rPr>
        <w:t> </w:t>
      </w:r>
    </w:p>
    <w:p w14:paraId="55969DB1" w14:textId="65E777EA" w:rsidR="00BF636E" w:rsidRDefault="00000000">
      <w:pPr>
        <w:pStyle w:val="NormalWeb"/>
        <w:rPr>
          <w:color w:val="000000"/>
        </w:rPr>
      </w:pPr>
      <w:r>
        <w:rPr>
          <w:color w:val="000000"/>
          <w:sz w:val="17"/>
          <w:szCs w:val="17"/>
        </w:rPr>
        <w:t xml:space="preserve">The superintendent will establish procedures consistent with state guidelines for implementing universal referral, screening, assessment, identification, and placement of highly capable students. The procedures will include prioritizing equitable identification of low-income students; use of </w:t>
      </w:r>
      <w:r w:rsidR="00DA149E">
        <w:rPr>
          <w:color w:val="000000"/>
          <w:sz w:val="17"/>
          <w:szCs w:val="17"/>
        </w:rPr>
        <w:t xml:space="preserve">multiple objective criteria and multiple pathways </w:t>
      </w:r>
      <w:r>
        <w:rPr>
          <w:color w:val="000000"/>
          <w:sz w:val="17"/>
          <w:szCs w:val="17"/>
        </w:rPr>
        <w:t>universal screening for identification and placement decisions; use of local norms, unless more restrictive than national norms; and use of screening and assessment in the student’s native language (if available) or nonverbal assessment.</w:t>
      </w:r>
    </w:p>
    <w:p w14:paraId="0E2C701D" w14:textId="77777777" w:rsidR="00BF636E" w:rsidRDefault="00BF636E">
      <w:pPr>
        <w:spacing w:after="240"/>
        <w:rPr>
          <w:rFonts w:ascii="Times New Roman" w:eastAsia="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BF636E" w14:paraId="5A948C29" w14:textId="77777777">
        <w:trPr>
          <w:tblCellSpacing w:w="15" w:type="dxa"/>
        </w:trPr>
        <w:tc>
          <w:tcPr>
            <w:tcW w:w="3000" w:type="dxa"/>
            <w:vAlign w:val="center"/>
            <w:hideMark/>
          </w:tcPr>
          <w:p w14:paraId="59D5AFB9" w14:textId="77777777" w:rsidR="00BF636E" w:rsidRDefault="00000000">
            <w:pPr>
              <w:rPr>
                <w:color w:val="000000"/>
              </w:rPr>
            </w:pPr>
            <w:r>
              <w:rPr>
                <w:color w:val="000000"/>
              </w:rPr>
              <w:t xml:space="preserve">Legal References: </w:t>
            </w:r>
          </w:p>
        </w:tc>
        <w:tc>
          <w:tcPr>
            <w:tcW w:w="0" w:type="auto"/>
            <w:vAlign w:val="center"/>
            <w:hideMark/>
          </w:tcPr>
          <w:p w14:paraId="75C325F8" w14:textId="63B38363" w:rsidR="00BF636E" w:rsidRDefault="00000000">
            <w:pPr>
              <w:rPr>
                <w:color w:val="000000"/>
              </w:rPr>
            </w:pPr>
            <w:r>
              <w:rPr>
                <w:color w:val="000000"/>
              </w:rPr>
              <w:t>RCW 28A.185.030 Programs</w:t>
            </w:r>
            <w:r w:rsidR="00B45794">
              <w:rPr>
                <w:color w:val="000000"/>
              </w:rPr>
              <w:t xml:space="preserve"> - </w:t>
            </w:r>
            <w:r>
              <w:rPr>
                <w:color w:val="000000"/>
              </w:rPr>
              <w:t>Authority of local school districts</w:t>
            </w:r>
            <w:r w:rsidR="00B45794">
              <w:rPr>
                <w:color w:val="000000"/>
              </w:rPr>
              <w:t xml:space="preserve"> - </w:t>
            </w:r>
            <w:r>
              <w:rPr>
                <w:color w:val="000000"/>
              </w:rPr>
              <w:t xml:space="preserve">Selection of students </w:t>
            </w:r>
          </w:p>
        </w:tc>
      </w:tr>
      <w:tr w:rsidR="00BF636E" w14:paraId="181AC505" w14:textId="77777777">
        <w:trPr>
          <w:tblCellSpacing w:w="15" w:type="dxa"/>
        </w:trPr>
        <w:tc>
          <w:tcPr>
            <w:tcW w:w="3000" w:type="dxa"/>
            <w:vAlign w:val="center"/>
            <w:hideMark/>
          </w:tcPr>
          <w:p w14:paraId="0FD1DE7C" w14:textId="77777777" w:rsidR="00BF636E" w:rsidRDefault="00BF636E">
            <w:pPr>
              <w:rPr>
                <w:color w:val="000000"/>
              </w:rPr>
            </w:pPr>
          </w:p>
        </w:tc>
        <w:tc>
          <w:tcPr>
            <w:tcW w:w="0" w:type="auto"/>
            <w:vAlign w:val="center"/>
            <w:hideMark/>
          </w:tcPr>
          <w:p w14:paraId="0150E982" w14:textId="5F74E454" w:rsidR="00BF636E" w:rsidRDefault="00000000">
            <w:pPr>
              <w:rPr>
                <w:color w:val="000000"/>
              </w:rPr>
            </w:pPr>
            <w:r>
              <w:rPr>
                <w:color w:val="000000"/>
              </w:rPr>
              <w:t>WAC 392-170 Special service program</w:t>
            </w:r>
            <w:r w:rsidR="00B45794">
              <w:rPr>
                <w:color w:val="000000"/>
              </w:rPr>
              <w:t xml:space="preserve"> -</w:t>
            </w:r>
            <w:r>
              <w:rPr>
                <w:color w:val="000000"/>
              </w:rPr>
              <w:t xml:space="preserve">Highly capable students </w:t>
            </w:r>
          </w:p>
        </w:tc>
      </w:tr>
      <w:tr w:rsidR="00BF636E" w14:paraId="2CBFD290" w14:textId="77777777">
        <w:trPr>
          <w:tblCellSpacing w:w="15" w:type="dxa"/>
        </w:trPr>
        <w:tc>
          <w:tcPr>
            <w:tcW w:w="3000" w:type="dxa"/>
            <w:vAlign w:val="center"/>
            <w:hideMark/>
          </w:tcPr>
          <w:p w14:paraId="56050B69" w14:textId="77777777" w:rsidR="00BF636E" w:rsidRDefault="00BF636E">
            <w:pPr>
              <w:rPr>
                <w:color w:val="000000"/>
              </w:rPr>
            </w:pPr>
          </w:p>
        </w:tc>
        <w:tc>
          <w:tcPr>
            <w:tcW w:w="0" w:type="auto"/>
            <w:vAlign w:val="center"/>
            <w:hideMark/>
          </w:tcPr>
          <w:p w14:paraId="1A93A223" w14:textId="77777777" w:rsidR="00BF636E" w:rsidRDefault="00BF636E">
            <w:pPr>
              <w:rPr>
                <w:rFonts w:ascii="Times New Roman" w:eastAsia="Times New Roman" w:hAnsi="Times New Roman"/>
                <w:szCs w:val="20"/>
              </w:rPr>
            </w:pPr>
          </w:p>
        </w:tc>
      </w:tr>
    </w:tbl>
    <w:p w14:paraId="55FD9A7B" w14:textId="77777777" w:rsidR="00BF636E" w:rsidRDefault="00BF636E">
      <w:pPr>
        <w:spacing w:after="240"/>
        <w:rPr>
          <w:rFonts w:ascii="Times New Roman" w:eastAsia="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035"/>
      </w:tblGrid>
      <w:tr w:rsidR="00BF636E" w14:paraId="3E193C24" w14:textId="77777777">
        <w:trPr>
          <w:tblCellSpacing w:w="15" w:type="dxa"/>
        </w:trPr>
        <w:tc>
          <w:tcPr>
            <w:tcW w:w="3000" w:type="dxa"/>
            <w:vAlign w:val="center"/>
            <w:hideMark/>
          </w:tcPr>
          <w:p w14:paraId="7D1C350D" w14:textId="77777777" w:rsidR="00BF636E" w:rsidRDefault="00000000">
            <w:pPr>
              <w:rPr>
                <w:color w:val="000000"/>
              </w:rPr>
            </w:pPr>
            <w:r>
              <w:rPr>
                <w:color w:val="000000"/>
              </w:rPr>
              <w:t xml:space="preserve">Management Resources: </w:t>
            </w:r>
          </w:p>
        </w:tc>
        <w:tc>
          <w:tcPr>
            <w:tcW w:w="0" w:type="auto"/>
            <w:vAlign w:val="center"/>
            <w:hideMark/>
          </w:tcPr>
          <w:p w14:paraId="3E2C21CB" w14:textId="3851D866" w:rsidR="00BF636E" w:rsidRDefault="00BF636E">
            <w:pPr>
              <w:rPr>
                <w:color w:val="000000"/>
              </w:rPr>
            </w:pPr>
          </w:p>
        </w:tc>
      </w:tr>
      <w:tr w:rsidR="00DA149E" w14:paraId="089AA609" w14:textId="77777777">
        <w:trPr>
          <w:tblCellSpacing w:w="15" w:type="dxa"/>
        </w:trPr>
        <w:tc>
          <w:tcPr>
            <w:tcW w:w="3000" w:type="dxa"/>
            <w:vAlign w:val="center"/>
          </w:tcPr>
          <w:p w14:paraId="407E9235" w14:textId="77777777" w:rsidR="00DA149E" w:rsidRDefault="00DA149E">
            <w:pPr>
              <w:rPr>
                <w:color w:val="000000"/>
              </w:rPr>
            </w:pPr>
          </w:p>
        </w:tc>
        <w:tc>
          <w:tcPr>
            <w:tcW w:w="0" w:type="auto"/>
            <w:vAlign w:val="center"/>
          </w:tcPr>
          <w:p w14:paraId="52BBC5A8" w14:textId="0FE57663" w:rsidR="00DA149E" w:rsidRDefault="00B45794">
            <w:pPr>
              <w:rPr>
                <w:color w:val="000000"/>
              </w:rPr>
            </w:pPr>
            <w:r>
              <w:rPr>
                <w:color w:val="000000"/>
              </w:rPr>
              <w:t>2023 – November Issue</w:t>
            </w:r>
          </w:p>
        </w:tc>
      </w:tr>
      <w:tr w:rsidR="00DA149E" w14:paraId="79B9D455" w14:textId="77777777">
        <w:trPr>
          <w:tblCellSpacing w:w="15" w:type="dxa"/>
        </w:trPr>
        <w:tc>
          <w:tcPr>
            <w:tcW w:w="3000" w:type="dxa"/>
            <w:vAlign w:val="center"/>
          </w:tcPr>
          <w:p w14:paraId="6C20AD5A" w14:textId="77777777" w:rsidR="00DA149E" w:rsidRDefault="00DA149E">
            <w:pPr>
              <w:rPr>
                <w:color w:val="000000"/>
              </w:rPr>
            </w:pPr>
          </w:p>
        </w:tc>
        <w:tc>
          <w:tcPr>
            <w:tcW w:w="0" w:type="auto"/>
            <w:vAlign w:val="center"/>
          </w:tcPr>
          <w:p w14:paraId="3CA75021" w14:textId="2C69FC9B" w:rsidR="00DA149E" w:rsidRDefault="00DA149E">
            <w:pPr>
              <w:rPr>
                <w:color w:val="000000"/>
              </w:rPr>
            </w:pPr>
            <w:r>
              <w:rPr>
                <w:color w:val="000000"/>
              </w:rPr>
              <w:t>2023</w:t>
            </w:r>
            <w:r w:rsidR="00B45794">
              <w:rPr>
                <w:color w:val="000000"/>
              </w:rPr>
              <w:t xml:space="preserve"> – July Issue</w:t>
            </w:r>
          </w:p>
        </w:tc>
      </w:tr>
      <w:tr w:rsidR="00DA149E" w14:paraId="7DB145D2" w14:textId="77777777">
        <w:trPr>
          <w:tblCellSpacing w:w="15" w:type="dxa"/>
        </w:trPr>
        <w:tc>
          <w:tcPr>
            <w:tcW w:w="3000" w:type="dxa"/>
            <w:vAlign w:val="center"/>
          </w:tcPr>
          <w:p w14:paraId="70AC0F14" w14:textId="77777777" w:rsidR="00DA149E" w:rsidRDefault="00DA149E">
            <w:pPr>
              <w:rPr>
                <w:color w:val="000000"/>
              </w:rPr>
            </w:pPr>
          </w:p>
        </w:tc>
        <w:tc>
          <w:tcPr>
            <w:tcW w:w="0" w:type="auto"/>
            <w:vAlign w:val="center"/>
          </w:tcPr>
          <w:p w14:paraId="13CB6A14" w14:textId="36E79041" w:rsidR="00DA149E" w:rsidRDefault="00DA149E">
            <w:pPr>
              <w:rPr>
                <w:color w:val="000000"/>
              </w:rPr>
            </w:pPr>
            <w:r>
              <w:rPr>
                <w:color w:val="000000"/>
              </w:rPr>
              <w:t>2018 - August 2018 - August Policy Issue</w:t>
            </w:r>
          </w:p>
        </w:tc>
      </w:tr>
      <w:tr w:rsidR="00BF636E" w14:paraId="16AFC718" w14:textId="77777777">
        <w:trPr>
          <w:tblCellSpacing w:w="15" w:type="dxa"/>
        </w:trPr>
        <w:tc>
          <w:tcPr>
            <w:tcW w:w="3000" w:type="dxa"/>
            <w:vAlign w:val="center"/>
            <w:hideMark/>
          </w:tcPr>
          <w:p w14:paraId="69251149" w14:textId="77777777" w:rsidR="00BF636E" w:rsidRDefault="00BF636E">
            <w:pPr>
              <w:rPr>
                <w:color w:val="000000"/>
              </w:rPr>
            </w:pPr>
          </w:p>
        </w:tc>
        <w:tc>
          <w:tcPr>
            <w:tcW w:w="0" w:type="auto"/>
            <w:vAlign w:val="center"/>
            <w:hideMark/>
          </w:tcPr>
          <w:p w14:paraId="4E15000D" w14:textId="77777777" w:rsidR="00BF636E" w:rsidRDefault="00000000">
            <w:pPr>
              <w:rPr>
                <w:color w:val="000000"/>
              </w:rPr>
            </w:pPr>
            <w:r>
              <w:rPr>
                <w:color w:val="000000"/>
              </w:rPr>
              <w:t xml:space="preserve">2013 - September Issue </w:t>
            </w:r>
          </w:p>
        </w:tc>
      </w:tr>
      <w:tr w:rsidR="00BF636E" w14:paraId="0959DB9D" w14:textId="77777777">
        <w:trPr>
          <w:tblCellSpacing w:w="15" w:type="dxa"/>
        </w:trPr>
        <w:tc>
          <w:tcPr>
            <w:tcW w:w="3000" w:type="dxa"/>
            <w:vAlign w:val="center"/>
            <w:hideMark/>
          </w:tcPr>
          <w:p w14:paraId="7075AB6C" w14:textId="77777777" w:rsidR="00BF636E" w:rsidRDefault="00BF636E">
            <w:pPr>
              <w:rPr>
                <w:color w:val="000000"/>
              </w:rPr>
            </w:pPr>
          </w:p>
        </w:tc>
        <w:tc>
          <w:tcPr>
            <w:tcW w:w="0" w:type="auto"/>
            <w:vAlign w:val="center"/>
            <w:hideMark/>
          </w:tcPr>
          <w:p w14:paraId="6D3E47EA" w14:textId="77777777" w:rsidR="00BF636E" w:rsidRDefault="00000000">
            <w:pPr>
              <w:rPr>
                <w:color w:val="000000"/>
              </w:rPr>
            </w:pPr>
            <w:r>
              <w:rPr>
                <w:color w:val="000000"/>
              </w:rPr>
              <w:t xml:space="preserve">Policy News, April 2008 Highly Capable Programs </w:t>
            </w:r>
          </w:p>
        </w:tc>
      </w:tr>
      <w:tr w:rsidR="00BF636E" w14:paraId="155EA0ED" w14:textId="77777777">
        <w:trPr>
          <w:tblCellSpacing w:w="15" w:type="dxa"/>
        </w:trPr>
        <w:tc>
          <w:tcPr>
            <w:tcW w:w="3000" w:type="dxa"/>
            <w:vAlign w:val="center"/>
            <w:hideMark/>
          </w:tcPr>
          <w:p w14:paraId="574AD666" w14:textId="77777777" w:rsidR="00BF636E" w:rsidRDefault="00BF636E">
            <w:pPr>
              <w:rPr>
                <w:color w:val="000000"/>
              </w:rPr>
            </w:pPr>
          </w:p>
        </w:tc>
        <w:tc>
          <w:tcPr>
            <w:tcW w:w="0" w:type="auto"/>
            <w:vAlign w:val="center"/>
            <w:hideMark/>
          </w:tcPr>
          <w:p w14:paraId="6D0FE204" w14:textId="77777777" w:rsidR="00BF636E" w:rsidRDefault="00BF636E">
            <w:pPr>
              <w:rPr>
                <w:rFonts w:ascii="Times New Roman" w:eastAsia="Times New Roman" w:hAnsi="Times New Roman"/>
                <w:szCs w:val="20"/>
              </w:rPr>
            </w:pPr>
          </w:p>
        </w:tc>
      </w:tr>
    </w:tbl>
    <w:p w14:paraId="6A50661B" w14:textId="77777777" w:rsidR="00BF636E" w:rsidRDefault="00BF636E">
      <w:pPr>
        <w:spacing w:after="240"/>
        <w:rPr>
          <w:rFonts w:ascii="Times New Roman" w:eastAsia="Times New Roman" w:hAnsi="Times New Roman"/>
          <w:color w:val="000000"/>
          <w:sz w:val="24"/>
          <w:szCs w:val="24"/>
        </w:rPr>
      </w:pPr>
    </w:p>
    <w:p w14:paraId="296A1AFD" w14:textId="444243B7" w:rsidR="00BF636E" w:rsidRDefault="00000000">
      <w:pPr>
        <w:pStyle w:val="NormalWeb"/>
        <w:rPr>
          <w:color w:val="000000"/>
        </w:rPr>
      </w:pPr>
      <w:r>
        <w:rPr>
          <w:color w:val="000000"/>
        </w:rPr>
        <w:t xml:space="preserve">Adoption Date: </w:t>
      </w:r>
      <w:r>
        <w:rPr>
          <w:color w:val="000000"/>
        </w:rPr>
        <w:br/>
        <w:t xml:space="preserve">Classification: </w:t>
      </w:r>
      <w:r>
        <w:rPr>
          <w:b/>
          <w:bCs/>
          <w:color w:val="000000"/>
        </w:rPr>
        <w:t>Essential</w:t>
      </w:r>
      <w:r>
        <w:rPr>
          <w:color w:val="000000"/>
        </w:rPr>
        <w:br/>
        <w:t xml:space="preserve">Revised Dates: </w:t>
      </w:r>
      <w:r>
        <w:rPr>
          <w:b/>
          <w:bCs/>
          <w:color w:val="000000"/>
        </w:rPr>
        <w:t>04.08; 12.11; 09.13; 08/01/2018; 07.23</w:t>
      </w:r>
      <w:r w:rsidR="00DA149E">
        <w:rPr>
          <w:b/>
          <w:bCs/>
          <w:color w:val="000000"/>
        </w:rPr>
        <w:t>; 11.23</w:t>
      </w:r>
    </w:p>
    <w:p w14:paraId="669A1514" w14:textId="77777777" w:rsidR="00BF636E" w:rsidRDefault="00BF636E">
      <w:pPr>
        <w:rPr>
          <w:rFonts w:ascii="Times New Roman" w:eastAsia="Times New Roman" w:hAnsi="Times New Roman"/>
          <w:color w:val="000000"/>
          <w:sz w:val="24"/>
          <w:szCs w:val="24"/>
        </w:rPr>
      </w:pPr>
    </w:p>
    <w:p w14:paraId="402790CF" w14:textId="77777777" w:rsidR="00BF636E" w:rsidRDefault="00000000">
      <w:pP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3DEBA391">
          <v:rect id="_x0000_i1026" style="width:0;height:1.5pt" o:hralign="center" o:hrstd="t" o:hr="t" fillcolor="#a0a0a0" stroked="f"/>
        </w:pict>
      </w:r>
    </w:p>
    <w:p w14:paraId="48EB284B" w14:textId="77777777" w:rsidR="00292E03" w:rsidRDefault="00000000">
      <w:pPr>
        <w:pStyle w:val="NormalWeb"/>
        <w:rPr>
          <w:color w:val="999999"/>
        </w:rPr>
      </w:pPr>
      <w:r>
        <w:rPr>
          <w:color w:val="999999"/>
        </w:rPr>
        <w:t>© 2020-2025 Washington State School Directors' Association. All rights reserved.</w:t>
      </w:r>
    </w:p>
    <w:sectPr w:rsidR="0029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71046"/>
    <w:multiLevelType w:val="multilevel"/>
    <w:tmpl w:val="2648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71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5"/>
    <w:rsid w:val="00044709"/>
    <w:rsid w:val="00292E03"/>
    <w:rsid w:val="004338A0"/>
    <w:rsid w:val="00AA6355"/>
    <w:rsid w:val="00B45794"/>
    <w:rsid w:val="00BF636E"/>
    <w:rsid w:val="00C2693D"/>
    <w:rsid w:val="00DA149E"/>
    <w:rsid w:val="00F6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21FE6"/>
  <w15:chartTrackingRefBased/>
  <w15:docId w15:val="{6AD6B258-A50D-490D-AA93-D7523A6E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styleId="Revision">
    <w:name w:val="Revision"/>
    <w:hidden/>
    <w:uiPriority w:val="99"/>
    <w:semiHidden/>
    <w:rsid w:val="00DA149E"/>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Highly Capable Programs-2190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Capable Programs-2190</dc:title>
  <dc:subject/>
  <dc:creator>Westbrook, Abigail (WSSDA)</dc:creator>
  <cp:keywords/>
  <dc:description/>
  <cp:lastModifiedBy>Lynnette Blackburn</cp:lastModifiedBy>
  <cp:revision>3</cp:revision>
  <dcterms:created xsi:type="dcterms:W3CDTF">2024-01-12T20:09:00Z</dcterms:created>
  <dcterms:modified xsi:type="dcterms:W3CDTF">2024-01-12T20:09:00Z</dcterms:modified>
</cp:coreProperties>
</file>